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DE8E76" w14:textId="29712FC3" w:rsidR="00187587" w:rsidRPr="0010072F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6"/>
          <w:szCs w:val="16"/>
        </w:rPr>
      </w:pPr>
      <w:r w:rsidRPr="0010072F">
        <w:rPr>
          <w:rFonts w:ascii="Verdana" w:hAnsi="Verdana"/>
          <w:sz w:val="16"/>
          <w:szCs w:val="16"/>
        </w:rPr>
        <w:t xml:space="preserve">Załącznik nr </w:t>
      </w:r>
      <w:r w:rsidR="0010072F" w:rsidRPr="0010072F">
        <w:rPr>
          <w:rFonts w:ascii="Verdana" w:hAnsi="Verdana"/>
          <w:sz w:val="16"/>
          <w:szCs w:val="16"/>
        </w:rPr>
        <w:t>6</w:t>
      </w:r>
    </w:p>
    <w:p w14:paraId="2E0BFFE9" w14:textId="77777777" w:rsidR="00187587" w:rsidRPr="0010072F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6"/>
          <w:szCs w:val="16"/>
        </w:rPr>
      </w:pPr>
      <w:r w:rsidRPr="0010072F">
        <w:rPr>
          <w:rFonts w:ascii="Verdana" w:hAnsi="Verdana"/>
          <w:sz w:val="16"/>
          <w:szCs w:val="16"/>
        </w:rPr>
        <w:t>do umowy o dofinansowanie</w:t>
      </w:r>
    </w:p>
    <w:p w14:paraId="1D656C95" w14:textId="77777777"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14:paraId="570348EC" w14:textId="77777777"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341179CD" w14:textId="77777777"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14:paraId="1D7A6ED0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14:paraId="7CF9E405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14:paraId="19AD9871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14:paraId="33BDEE02" w14:textId="77777777"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18609D18" w14:textId="77777777"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14:paraId="4D775771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6626CF4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14:paraId="38FAC3DA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07385BBD" w14:textId="77777777"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18241776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59517AAD" wp14:editId="25DC34C9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1F401A6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9DE466A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941258C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17AA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1F401A64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9DE466A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941258C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</w:t>
      </w:r>
      <w:r w:rsidR="00BC4832">
        <w:rPr>
          <w:rFonts w:ascii="Verdana" w:hAnsi="Verdana"/>
          <w:b/>
          <w:bCs/>
          <w:sz w:val="18"/>
          <w:szCs w:val="18"/>
        </w:rPr>
        <w:t>ę</w:t>
      </w:r>
      <w:r w:rsidR="00E01357" w:rsidRPr="00B95D32">
        <w:rPr>
          <w:rFonts w:ascii="Verdana" w:hAnsi="Verdana"/>
          <w:b/>
          <w:bCs/>
          <w:sz w:val="18"/>
          <w:szCs w:val="18"/>
        </w:rPr>
        <w:t>biorcą</w:t>
      </w:r>
      <w:proofErr w:type="spellEnd"/>
    </w:p>
    <w:p w14:paraId="3BA4CD61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3C67CEF7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0BE1D91E" wp14:editId="7252FC0F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408D7EC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85FDC26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4DA55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D91E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408D7EC3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85FDC26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F44DA55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14:paraId="757BB391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25A4B9B6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749CB312" wp14:editId="3A8EC1D6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73C64B7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0BA3D16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49B8E0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B312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73C64B75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0BA3D16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949B8E0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14:paraId="3B7554A8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1F3D8D32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175E7AAD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14:paraId="1E950B94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56E9E03E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4C7C31" w14:textId="77777777"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4245638E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7B090CCF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253D5351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CB2167B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14:paraId="21407A52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E2C" w14:textId="77777777"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22991E62" w14:textId="77777777"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672F6B9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079D922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1612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67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58BD87F2" w14:textId="77777777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C86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14:paraId="3693726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BD99" w14:textId="77777777"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11AEF1CE" wp14:editId="7F7F351D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7012EBE0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67CAF481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0EFE99C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EF1CE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7012EBE0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67CAF481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EFE99C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BAE6ACD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4E258C1A" wp14:editId="117C90F3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52A03F6A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9B2FCF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ADA69D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58C1A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52A03F6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9B2FCF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DA69D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D441A9C" w14:textId="77777777"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26554480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52E5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19A0DC1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14:paraId="4B280F4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5ADF2E7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BDD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5A5055D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6FAF60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74BE006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82150C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7125679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3030E2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6741C38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0F807E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6AD2DED5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1B2D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7DA617B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14:paraId="67E8201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4F2317B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FA9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0DAAD83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E35698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21E5F0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23124B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2259E2F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D64BB7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4C79156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C37FC3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3BAD71B1" w14:textId="77777777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74F6" w14:textId="77777777"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14:paraId="5082C44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0B980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14:paraId="6DC937F1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40D96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0E3A2935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9770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14:paraId="36FDA4F1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5117E9A9" w14:textId="77777777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F595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14:paraId="0443F1E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DA39F0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17C7C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7CBA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D70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7F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FC8EC8A" w14:textId="77777777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CD71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521B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EDC70F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9E729C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3E1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5D19B2E4" w14:textId="77777777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463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14:paraId="7FBDB53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291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B387D9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13818E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0FF9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D06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6C27E72" w14:textId="77777777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CCDD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013A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A2FA212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2D16309" wp14:editId="65D1494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4854440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DE07E26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3C1D026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16309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4854440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DE07E26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1D026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0697EA8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F0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1A8909D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28F5101F" wp14:editId="5C783B3E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62CB3C3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E59B6EB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9D325CA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5101F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62CB3C3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59B6EB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D325CA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AC08532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1FE730C1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9A67E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14:paraId="5BF509C3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62845D72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14:paraId="0B01D5EE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14:paraId="6078B412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14:paraId="11A1019D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AD2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F4B08E3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0B85AC64" wp14:editId="22333D44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B46F5F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067DAF0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C57CBB9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5AC64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B46F5F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067DAF0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7CBB9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CA0C422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3C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EAFD749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22C21161" wp14:editId="0A21682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0293363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DD43F74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4936CD6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1161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0293363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DD43F74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936CD6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AE2F53E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7B5F2062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1EE1" w14:textId="77777777"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4B2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61EA722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3EA505DE" wp14:editId="5BDEF8DA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5E4B2B8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CD18E42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4D0D02E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505DE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5E4B2B8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CD18E42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D0D02E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0FE81EB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18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83B9525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13FDAFEB" wp14:editId="0652935B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772836C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A039997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CCB6DE7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DAFEB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772836C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A039997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B6DE7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0D58BC0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14:paraId="0B6A556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5BF9F6" w14:textId="6A256CA9" w:rsidR="00E01357" w:rsidRPr="00B95D32" w:rsidRDefault="0010072F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</w:p>
    <w:p w14:paraId="28911129" w14:textId="77777777" w:rsidR="00E01357" w:rsidRPr="00B95D32" w:rsidRDefault="00E01357" w:rsidP="0010072F">
      <w:pPr>
        <w:spacing w:line="276" w:lineRule="auto"/>
        <w:jc w:val="right"/>
        <w:rPr>
          <w:rFonts w:ascii="Verdana" w:hAnsi="Verdana"/>
          <w:sz w:val="18"/>
          <w:szCs w:val="18"/>
        </w:rPr>
      </w:pPr>
    </w:p>
    <w:p w14:paraId="604C0D9C" w14:textId="77777777" w:rsidR="00E01357" w:rsidRPr="00B95D32" w:rsidRDefault="00E01357" w:rsidP="0010072F">
      <w:pPr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60B310F5" w14:textId="77777777" w:rsidR="00E01357" w:rsidRPr="00B95D32" w:rsidRDefault="00E01357" w:rsidP="0010072F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509E6770" w14:textId="77777777" w:rsidR="00E01357" w:rsidRPr="00B95D32" w:rsidRDefault="00E01357" w:rsidP="0010072F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67F304C2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0A74D8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93171A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8E24F84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D113CBD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9540AEE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834385C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662EA79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3E10E3B" w14:textId="38C673B9"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052625D" w14:textId="77777777" w:rsidR="0010072F" w:rsidRPr="00B95D32" w:rsidRDefault="0010072F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BEBC685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14:paraId="1F2BDB66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08C8DED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2095FB7D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ADF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14:paraId="0276BF4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89EC9D7" w14:textId="77777777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B05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37C2165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F5482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31B9B759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BAD0B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06EA656D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C5AF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1B49C888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14:paraId="29BD8C1F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456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181D437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35B28F0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E2645C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0BB2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D281C9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E5FE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C128CA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5A5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859026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86F841A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55A46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5278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4DAB97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AE0E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E3D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6973D34" w14:textId="77777777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CC1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3E8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208DFB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7C4AE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323E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C3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5313CF74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A0A6DA2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D1CA72F" w14:textId="639461AD"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E740629" w14:textId="77777777" w:rsidR="0010072F" w:rsidRPr="00B95D32" w:rsidRDefault="0010072F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468CEB" w14:textId="77777777" w:rsidR="00E01357" w:rsidRPr="00B95D32" w:rsidRDefault="00E01357" w:rsidP="0010072F">
      <w:pPr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2098DADB" w14:textId="77777777" w:rsidR="00E01357" w:rsidRPr="00B95D32" w:rsidRDefault="00E01357" w:rsidP="0010072F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2310C1FA" w14:textId="77777777" w:rsidR="00E01357" w:rsidRPr="00B95D32" w:rsidRDefault="00E01357" w:rsidP="0010072F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54EE530F" w14:textId="77777777"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5F54BF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14:paraId="3E709461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FF92FEA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5272A97B" w14:textId="77777777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2CA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14:paraId="22AECEA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273B96E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3419879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5F7B2425" w14:textId="77777777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B6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13A942F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17E5994C" w14:textId="77777777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6898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 xml:space="preserve">Udział w kapitale lub prawie głosu </w:t>
            </w:r>
          </w:p>
          <w:p w14:paraId="6B7754C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B0A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61B5D62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14:paraId="31203787" w14:textId="77777777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6A72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6E232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10109B5E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51AB8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727F002C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771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025C7C7B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6E9C496F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EFC6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4025DB6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75ECC0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6A2B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DA68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3D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3EA1788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A085A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6D9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17C0E4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3D6EA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CAA58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133C1F7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E7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1754A25" w14:textId="77777777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5898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9168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A72B5E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DBA205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84C6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33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5BAA1CA5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819D06B" w14:textId="541D2457" w:rsidR="00E01357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D080873" w14:textId="77777777" w:rsidR="0010072F" w:rsidRPr="00B95D32" w:rsidRDefault="0010072F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15D509F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3EA9CA1" w14:textId="77777777" w:rsidR="00E01357" w:rsidRPr="00B95D32" w:rsidRDefault="00E01357" w:rsidP="0010072F">
      <w:pPr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0A87C786" w14:textId="77777777" w:rsidR="00E01357" w:rsidRPr="00B95D32" w:rsidRDefault="00E01357" w:rsidP="0010072F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15FE2870" w14:textId="77777777" w:rsidR="00E01357" w:rsidRPr="00B95D32" w:rsidRDefault="00E01357" w:rsidP="0010072F">
      <w:pPr>
        <w:tabs>
          <w:tab w:val="center" w:pos="4111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52621279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76B983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5BBD4F8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1E5F726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E474A77" w14:textId="77777777"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0009305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114EDD9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F57F2A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71C463A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2BEDBFE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F0A463C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8355705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15848E3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2F0FFDD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2947B22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5448384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07659B0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75B7CA5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0097895" w14:textId="77777777" w:rsidR="006B1578" w:rsidRPr="00B95D32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8DD38BD" w14:textId="5DA88DB8" w:rsidR="00E01357" w:rsidRPr="0010072F" w:rsidRDefault="00E01357" w:rsidP="0010072F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14:paraId="19D67F6D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14:paraId="368A34C0" w14:textId="77777777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34E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14:paraId="2B71D75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495DFDE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35E1E7E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58895063" w14:textId="77777777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8D8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4F41585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18E65CF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63DB48FE" w14:textId="77777777" w:rsidTr="0010072F">
        <w:trPr>
          <w:cantSplit/>
          <w:trHeight w:val="1333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CBF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14:paraId="25E5BE8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14:paraId="79CC3DE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B6FAB7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905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3DDEB674" w14:textId="77777777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C22B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111DD78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0E1025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CB2F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0593874B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A0B16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0747FF5F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91B6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130EE7C9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1EB4D4F2" w14:textId="77777777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4EF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3A8436D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D39B40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C07B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167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0B0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726DD36" w14:textId="77777777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0881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5065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AD2254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4AEC18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00E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B6CAB53" w14:textId="77777777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1300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DE2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60354F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E3BB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AE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2F57834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112FD7" w14:textId="383924BB" w:rsidR="00E01357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342E4A4" w14:textId="77777777" w:rsidR="0010072F" w:rsidRPr="00B95D32" w:rsidRDefault="0010072F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246539DA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A6925A7" w14:textId="77777777" w:rsidR="00E01357" w:rsidRPr="00B95D32" w:rsidRDefault="00E01357" w:rsidP="0010072F">
      <w:pPr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0ED6601F" w14:textId="77777777" w:rsidR="00E01357" w:rsidRPr="00B95D32" w:rsidRDefault="00E01357" w:rsidP="0010072F">
      <w:pPr>
        <w:tabs>
          <w:tab w:val="center" w:pos="4395"/>
        </w:tabs>
        <w:spacing w:line="276" w:lineRule="auto"/>
        <w:jc w:val="right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513240AE" w14:textId="77777777" w:rsidR="00C05BB6" w:rsidRPr="00C05BB6" w:rsidRDefault="00E01357" w:rsidP="0010072F">
      <w:pPr>
        <w:tabs>
          <w:tab w:val="center" w:pos="4111"/>
        </w:tabs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14:paraId="0FE82EA0" w14:textId="77777777"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2262" w14:textId="77777777" w:rsidR="00106479" w:rsidRDefault="00106479">
      <w:r>
        <w:separator/>
      </w:r>
    </w:p>
  </w:endnote>
  <w:endnote w:type="continuationSeparator" w:id="0">
    <w:p w14:paraId="60DFC067" w14:textId="77777777" w:rsidR="00106479" w:rsidRDefault="00106479">
      <w:r>
        <w:continuationSeparator/>
      </w:r>
    </w:p>
  </w:endnote>
  <w:endnote w:type="continuationNotice" w:id="1">
    <w:p w14:paraId="29B1E2DB" w14:textId="77777777" w:rsidR="00106479" w:rsidRDefault="00106479"/>
  </w:endnote>
  <w:endnote w:id="2">
    <w:p w14:paraId="6FDD4306" w14:textId="77777777"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1661294E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287A4D02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76E91DFD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68307210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2594B318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54A76D0B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360F2A3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7ED37D6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127F018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14:paraId="2D6A96E6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14:paraId="6D2BBCE2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14:paraId="41FA274F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34C2C94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2FAFAE5D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1C0E0E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5F80E3D2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EB0CA54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0F4EDD99" w14:textId="77777777"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14:paraId="5F97EB68" w14:textId="77777777"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622ED0CB" w14:textId="77777777"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14:paraId="390CD7AF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3CBB298B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73359295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69455D35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2515967E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483B2A41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„upstream”) posiada, samodzielnie lub wspólnie z jednym lub kilkoma przedsiębiorstwami powiązanymi, 25% lub więcej kapitału lub praw głosu drugiego przedsiębiorstwa (przedsiębiorstwa typu „downstream”).</w:t>
      </w:r>
    </w:p>
    <w:p w14:paraId="20D0C839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049DE690" w14:textId="77777777"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38A2CA1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14:paraId="58300C3A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46520388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535E58EA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6585E10C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5C17739B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0ABAF0E1" w14:textId="77777777"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14:paraId="40B7ACF9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6173A000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2BCE0E25" w14:textId="77777777"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1B017BBC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2F48A0E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1A60FBC0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15A6C53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39E8F8B2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999881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52071334" w14:textId="77777777"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74788FD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50336F7E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04911C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6E3B2946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6EAB4E8C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3CF15542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14:paraId="11609D5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42800C2F" w14:textId="77777777"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14:paraId="45604629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197059A1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14:paraId="062B3AF3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14:paraId="43813E5D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14:paraId="50425791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pkt 10 oświadczenia, </w:t>
      </w:r>
    </w:p>
    <w:p w14:paraId="1C263117" w14:textId="77777777" w:rsidR="00106479" w:rsidRPr="001C3C6D" w:rsidRDefault="00106479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14:paraId="003609EA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3426FF38" w14:textId="77777777"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5719DD70" w14:textId="77777777" w:rsidR="00106479" w:rsidRPr="001C3C6D" w:rsidRDefault="0097215B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B633" w14:textId="77777777"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8B1BC" w14:textId="77777777"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BB4EC" w14:textId="77777777" w:rsidR="00106479" w:rsidRDefault="00106479">
      <w:r>
        <w:separator/>
      </w:r>
    </w:p>
  </w:footnote>
  <w:footnote w:type="continuationSeparator" w:id="0">
    <w:p w14:paraId="2CA1708E" w14:textId="77777777" w:rsidR="00106479" w:rsidRDefault="00106479">
      <w:r>
        <w:continuationSeparator/>
      </w:r>
    </w:p>
  </w:footnote>
  <w:footnote w:type="continuationNotice" w:id="1">
    <w:p w14:paraId="4F9E0E01" w14:textId="77777777" w:rsidR="00106479" w:rsidRDefault="00106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127A" w14:textId="77777777"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630E9B3E" wp14:editId="42667682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72F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5B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832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5DF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066E088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7222-CB84-4C9B-B6EE-71AA9077A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FDA2F-E847-4E36-8F21-DF9E8087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Dagmara Auguściak</cp:lastModifiedBy>
  <cp:revision>6</cp:revision>
  <cp:lastPrinted>2017-11-22T15:03:00Z</cp:lastPrinted>
  <dcterms:created xsi:type="dcterms:W3CDTF">2019-09-27T07:18:00Z</dcterms:created>
  <dcterms:modified xsi:type="dcterms:W3CDTF">2020-01-27T08:44:00Z</dcterms:modified>
</cp:coreProperties>
</file>